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96、付款通知列表的</w:t>
      </w:r>
      <w:r>
        <w:rPr>
          <w:rFonts w:hint="eastAsia"/>
          <w:b/>
          <w:bCs/>
          <w:lang w:val="en-US" w:eastAsia="zh-CN"/>
        </w:rPr>
        <w:t>全部</w:t>
      </w:r>
      <w:r>
        <w:rPr>
          <w:rFonts w:hint="eastAsia"/>
          <w:lang w:val="en-US" w:eastAsia="zh-CN"/>
        </w:rPr>
        <w:t>页签，增加“申请人”筛选查询：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eastAsiaTheme="minorEastAsia"/>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订单分析”对应筛选的界面，E、钉钉的显示内容与OA一致（</w:t>
      </w:r>
      <w:r>
        <w:rPr>
          <w:rFonts w:hint="eastAsia"/>
          <w:color w:val="FF0000"/>
          <w:lang w:val="en-US" w:eastAsia="zh-CN"/>
        </w:rPr>
        <w:t>不</w:t>
      </w:r>
      <w:r>
        <w:rPr>
          <w:rFonts w:hint="eastAsia"/>
          <w:lang w:val="en-US" w:eastAsia="zh-CN"/>
        </w:rPr>
        <w:t>显示操作明细），默认筛选条件也一样！F、能引出excel文件！</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w:t>
      </w:r>
      <w:r>
        <w:rPr>
          <w:rFonts w:hint="eastAsia"/>
          <w:b/>
          <w:bCs/>
          <w:color w:val="FF0000"/>
          <w:lang w:val="en-US" w:eastAsia="zh-CN"/>
        </w:rPr>
        <w:t>业务明细</w:t>
      </w:r>
      <w:r>
        <w:rPr>
          <w:rFonts w:hint="eastAsia"/>
          <w:lang w:val="en-US" w:eastAsia="zh-CN"/>
        </w:rPr>
        <w:t>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eastAsiaTheme="minorEastAsia"/>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F专普票选项增加“电子发票”选项:</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主订单页面，合同造价改中的“50万以下”与“50万-100万”改为：</w:t>
      </w:r>
    </w:p>
    <w:p>
      <w:pPr>
        <w:numPr>
          <w:ilvl w:val="0"/>
          <w:numId w:val="0"/>
        </w:numPr>
        <w:ind w:leftChars="0"/>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统计分析中增加“策划与设员”工作量统计（位置在订单分析上面）：1、统计对象：接单人员，非接单人员不统计在内；2、筛选条件：订单结束时间、接单人员、人员岗位（模糊筛选）、下单区域、归属区域、订单状态、接单状态（默认“待定与处理中”）、锁单状态；3、合计订单数为</w:t>
      </w:r>
      <w:r>
        <w:rPr>
          <w:rFonts w:hint="eastAsia"/>
          <w:b/>
          <w:bCs/>
          <w:lang w:val="en-US" w:eastAsia="zh-CN"/>
        </w:rPr>
        <w:t>0</w:t>
      </w:r>
      <w:r>
        <w:rPr>
          <w:rFonts w:hint="eastAsia"/>
          <w:lang w:val="en-US" w:eastAsia="zh-CN"/>
        </w:rPr>
        <w:t>的人员</w:t>
      </w:r>
      <w:r>
        <w:rPr>
          <w:rFonts w:hint="eastAsia"/>
          <w:color w:val="FF0000"/>
          <w:lang w:val="en-US" w:eastAsia="zh-CN"/>
        </w:rPr>
        <w:t>不</w:t>
      </w:r>
      <w:r>
        <w:rPr>
          <w:rFonts w:hint="eastAsia"/>
          <w:lang w:val="en-US" w:eastAsia="zh-CN"/>
        </w:rPr>
        <w:t>显示；4、点击记录的数量，自动转跳到对应筛选的“订单分析”页面；5、引出excel文件</w:t>
      </w:r>
    </w:p>
    <w:p>
      <w:pPr>
        <w:numPr>
          <w:ilvl w:val="0"/>
          <w:numId w:val="0"/>
        </w:numPr>
        <w:ind w:leftChars="0"/>
      </w:pPr>
      <w:r>
        <w:drawing>
          <wp:inline distT="0" distB="0" distL="114300" distR="114300">
            <wp:extent cx="7044055" cy="2775585"/>
            <wp:effectExtent l="0" t="0" r="4445" b="57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42"/>
                    <a:stretch>
                      <a:fillRect/>
                    </a:stretch>
                  </pic:blipFill>
                  <pic:spPr>
                    <a:xfrm>
                      <a:off x="0" y="0"/>
                      <a:ext cx="7044055" cy="2775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详细页面增加“合同签署地”选项，同时在财务模块的其他子模块增加“合同签置地”录入；B在业务模块的所有子模块中增加“合同签署地”筛选项；在财务模块中的“应收付列表”、“收款明细列表”、“付款明细列表”、“往来客户”中的“往业客户”与“客户对账子模块”、“财务结账”的所有子模块中；在统计模块中的“订单分析”增加“合同签署地”筛选项；C“付款明细列表中的订单号，鼠标放置显示“合同签署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A在订单详细页面中的“发票申请汇总”中显示“发票超开金额”，既显示：订单中”已开具的发票“的金额大于“订单应收总额”的金额，用红色字体显示超开金额，未超开显示为“零”；B在订单分析模块中增加“订单发票超开（＝；&gt;；&gt;=）筛选”，默认为空；</w:t>
      </w:r>
    </w:p>
    <w:p>
      <w:pPr>
        <w:numPr>
          <w:ilvl w:val="0"/>
          <w:numId w:val="0"/>
        </w:numPr>
        <w:ind w:leftChars="0"/>
      </w:pPr>
      <w:r>
        <w:drawing>
          <wp:inline distT="0" distB="0" distL="114300" distR="114300">
            <wp:extent cx="7040880" cy="3359150"/>
            <wp:effectExtent l="0" t="0" r="7620"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发票模块所有子模块，新增“购买方名称”模糊筛选；同时引出的文件也加上“购买方名称”与“开票单位”</w:t>
      </w:r>
    </w:p>
    <w:p>
      <w:pPr>
        <w:numPr>
          <w:ilvl w:val="0"/>
          <w:numId w:val="0"/>
        </w:numPr>
        <w:ind w:leftChars="0"/>
      </w:pPr>
      <w:r>
        <w:drawing>
          <wp:inline distT="0" distB="0" distL="114300" distR="114300">
            <wp:extent cx="7040880" cy="3359150"/>
            <wp:effectExtent l="0" t="0" r="7620" b="1270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“非业务”与财务的“付款通知”、“收付通知中的退款”的已付款凭证打印模式增加一个“应税凭证打印”，与普通打印的区别为（</w:t>
      </w:r>
      <w:r>
        <w:rPr>
          <w:rFonts w:hint="eastAsia"/>
          <w:color w:val="FF0000"/>
          <w:lang w:val="en-US" w:eastAsia="zh-CN"/>
        </w:rPr>
        <w:t>暂缓</w:t>
      </w:r>
      <w:r>
        <w:rPr>
          <w:rFonts w:hint="eastAsia"/>
          <w:lang w:val="en-US" w:eastAsia="zh-CN"/>
        </w:rPr>
        <w:t>）：</w:t>
      </w:r>
    </w:p>
    <w:p>
      <w:pPr>
        <w:numPr>
          <w:ilvl w:val="0"/>
          <w:numId w:val="0"/>
        </w:numPr>
        <w:ind w:leftChars="0"/>
      </w:pPr>
      <w:r>
        <w:drawing>
          <wp:inline distT="0" distB="0" distL="114300" distR="114300">
            <wp:extent cx="7040880" cy="3359150"/>
            <wp:effectExtent l="0" t="0" r="7620" b="1270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钉钉订单确认颜色由原业的“明蓝色”改为“瓦蓝色”：</w:t>
      </w:r>
    </w:p>
    <w:p>
      <w:pPr>
        <w:numPr>
          <w:ilvl w:val="0"/>
          <w:numId w:val="0"/>
        </w:numPr>
        <w:ind w:leftChars="0"/>
      </w:pPr>
      <w:r>
        <w:drawing>
          <wp:inline distT="0" distB="0" distL="114300" distR="114300">
            <wp:extent cx="2009775" cy="4890770"/>
            <wp:effectExtent l="0" t="0" r="9525" b="508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9"/>
                    <a:stretch>
                      <a:fillRect/>
                    </a:stretch>
                  </pic:blipFill>
                  <pic:spPr>
                    <a:xfrm>
                      <a:off x="0" y="0"/>
                      <a:ext cx="2009775" cy="489077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“业务活动执行备用金借款”财务审批时，可以修改申请金额（修改的金额应比原来小），修改后在，同时“审批备注”显示：财务批复借款金额由原####元改为#####元；钉钉上也要实现；</w:t>
      </w:r>
    </w:p>
    <w:p>
      <w:pPr>
        <w:numPr>
          <w:ilvl w:val="0"/>
          <w:numId w:val="0"/>
        </w:numPr>
        <w:ind w:leftChars="0"/>
      </w:pPr>
      <w:r>
        <w:drawing>
          <wp:inline distT="0" distB="0" distL="114300" distR="114300">
            <wp:extent cx="7040880" cy="3359150"/>
            <wp:effectExtent l="0" t="0" r="7620" b="1270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5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审单的界面的所有页签增加对业务员的筛选：</w:t>
      </w:r>
    </w:p>
    <w:p>
      <w:pPr>
        <w:numPr>
          <w:ilvl w:val="0"/>
          <w:numId w:val="0"/>
        </w:numPr>
        <w:ind w:leftChars="0"/>
      </w:pPr>
      <w:r>
        <w:drawing>
          <wp:inline distT="0" distB="0" distL="114300" distR="114300">
            <wp:extent cx="7040880" cy="3359150"/>
            <wp:effectExtent l="0" t="0" r="7620"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5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A在订单详细页面的“已收付款汇总”增加“对账标志”显示；B在“收款明细列表”与“付款明细列表”增加“对账标志”筛选与显示；C引出的EXCEL文件也含“对账标志”显示；</w:t>
      </w:r>
    </w:p>
    <w:p>
      <w:pPr>
        <w:numPr>
          <w:ilvl w:val="0"/>
          <w:numId w:val="0"/>
        </w:numPr>
        <w:ind w:leftChars="0"/>
      </w:pPr>
      <w:r>
        <w:drawing>
          <wp:inline distT="0" distB="0" distL="114300" distR="114300">
            <wp:extent cx="7040880" cy="3359150"/>
            <wp:effectExtent l="0" t="0" r="7620" b="1270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5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客户对账明细页面增加“客源”筛选：</w:t>
      </w:r>
    </w:p>
    <w:p>
      <w:pPr>
        <w:numPr>
          <w:ilvl w:val="0"/>
          <w:numId w:val="0"/>
        </w:numPr>
        <w:ind w:leftChars="0"/>
      </w:pPr>
      <w:r>
        <w:drawing>
          <wp:inline distT="0" distB="0" distL="114300" distR="114300">
            <wp:extent cx="7040880" cy="3359150"/>
            <wp:effectExtent l="0" t="0" r="7620" b="1270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5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“添加付款明细”标题改为“添加付款申请”：</w:t>
      </w:r>
    </w:p>
    <w:p>
      <w:pPr>
        <w:numPr>
          <w:ilvl w:val="0"/>
          <w:numId w:val="0"/>
        </w:numPr>
        <w:ind w:leftChars="0"/>
      </w:pPr>
      <w:r>
        <w:drawing>
          <wp:inline distT="0" distB="0" distL="114300" distR="114300">
            <wp:extent cx="7040880" cy="3359150"/>
            <wp:effectExtent l="0" t="0" r="7620" b="1270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55"/>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收款明细列表与付款明细列表增加“付款方式”筛选；</w:t>
      </w:r>
    </w:p>
    <w:p>
      <w:pPr>
        <w:numPr>
          <w:ilvl w:val="0"/>
          <w:numId w:val="0"/>
        </w:numPr>
        <w:ind w:leftChars="0"/>
      </w:pPr>
      <w:r>
        <w:drawing>
          <wp:inline distT="0" distB="0" distL="114300" distR="114300">
            <wp:extent cx="7040880" cy="3359150"/>
            <wp:effectExtent l="0" t="0" r="7620" b="1270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default"/>
          <w:lang w:val="en-US" w:eastAsia="zh-CN"/>
        </w:rPr>
      </w:pPr>
      <w:r>
        <w:rPr>
          <w:rFonts w:hint="eastAsia"/>
          <w:lang w:val="en-US" w:eastAsia="zh-CN"/>
        </w:rPr>
        <w:t>A增加订单面页统计功能同时改进统计模块中的员工业绩统计等一系统功能；</w:t>
      </w:r>
    </w:p>
    <w:p>
      <w:pPr>
        <w:numPr>
          <w:numId w:val="0"/>
        </w:numPr>
        <w:ind w:leftChars="0"/>
        <w:rPr>
          <w:rFonts w:hint="default"/>
          <w:lang w:val="en-US" w:eastAsia="zh-CN"/>
        </w:rPr>
      </w:pPr>
      <w:r>
        <w:drawing>
          <wp:inline distT="0" distB="0" distL="114300" distR="114300">
            <wp:extent cx="7040880" cy="3065780"/>
            <wp:effectExtent l="0" t="0" r="7620" b="127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7"/>
                    <a:stretch>
                      <a:fillRect/>
                    </a:stretch>
                  </pic:blipFill>
                  <pic:spPr>
                    <a:xfrm>
                      <a:off x="0" y="0"/>
                      <a:ext cx="7040880" cy="3065780"/>
                    </a:xfrm>
                    <a:prstGeom prst="rect">
                      <a:avLst/>
                    </a:prstGeom>
                    <a:noFill/>
                    <a:ln>
                      <a:noFill/>
                    </a:ln>
                  </pic:spPr>
                </pic:pic>
              </a:graphicData>
            </a:graphic>
          </wp:inline>
        </w:drawing>
      </w:r>
      <w:bookmarkStart w:id="0" w:name="_GoBack"/>
      <w:bookmarkEnd w:id="0"/>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DE0D4E"/>
    <w:rsid w:val="01E82F0B"/>
    <w:rsid w:val="02091BEC"/>
    <w:rsid w:val="02230931"/>
    <w:rsid w:val="022B4A4B"/>
    <w:rsid w:val="02721EE5"/>
    <w:rsid w:val="02B95D0A"/>
    <w:rsid w:val="02BF66CD"/>
    <w:rsid w:val="02FF42DC"/>
    <w:rsid w:val="03700E35"/>
    <w:rsid w:val="03956F40"/>
    <w:rsid w:val="03D33827"/>
    <w:rsid w:val="03D82682"/>
    <w:rsid w:val="03EF464A"/>
    <w:rsid w:val="03FA7C0E"/>
    <w:rsid w:val="04067CD5"/>
    <w:rsid w:val="04285EAC"/>
    <w:rsid w:val="0443279C"/>
    <w:rsid w:val="04516A05"/>
    <w:rsid w:val="04870F2B"/>
    <w:rsid w:val="04BC73A8"/>
    <w:rsid w:val="05337CE2"/>
    <w:rsid w:val="05570D39"/>
    <w:rsid w:val="05C46B18"/>
    <w:rsid w:val="0615505F"/>
    <w:rsid w:val="06C15E24"/>
    <w:rsid w:val="07245898"/>
    <w:rsid w:val="07B872A8"/>
    <w:rsid w:val="08257746"/>
    <w:rsid w:val="08614902"/>
    <w:rsid w:val="09B44310"/>
    <w:rsid w:val="09E9119C"/>
    <w:rsid w:val="0A564639"/>
    <w:rsid w:val="0AA14655"/>
    <w:rsid w:val="0AC76842"/>
    <w:rsid w:val="0B0C5BF4"/>
    <w:rsid w:val="0B4B4206"/>
    <w:rsid w:val="0B5418A3"/>
    <w:rsid w:val="0B547EFC"/>
    <w:rsid w:val="0BEF101F"/>
    <w:rsid w:val="0CA92A3B"/>
    <w:rsid w:val="0CB63D81"/>
    <w:rsid w:val="0CF02377"/>
    <w:rsid w:val="0CF10875"/>
    <w:rsid w:val="0D2121B4"/>
    <w:rsid w:val="0DA17AB6"/>
    <w:rsid w:val="0DAD23FC"/>
    <w:rsid w:val="0DB33E6B"/>
    <w:rsid w:val="0DC96ADA"/>
    <w:rsid w:val="0E2551F3"/>
    <w:rsid w:val="0E9D0A8A"/>
    <w:rsid w:val="0F002098"/>
    <w:rsid w:val="0F324CE4"/>
    <w:rsid w:val="0F3E3F2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8009B3"/>
    <w:rsid w:val="15961E5A"/>
    <w:rsid w:val="16603FE5"/>
    <w:rsid w:val="171F6393"/>
    <w:rsid w:val="172D66EE"/>
    <w:rsid w:val="175549A3"/>
    <w:rsid w:val="17E42BF7"/>
    <w:rsid w:val="1802520C"/>
    <w:rsid w:val="181010A1"/>
    <w:rsid w:val="1812602D"/>
    <w:rsid w:val="18271D0E"/>
    <w:rsid w:val="1841732B"/>
    <w:rsid w:val="18911F74"/>
    <w:rsid w:val="189B59BF"/>
    <w:rsid w:val="18A44D33"/>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F145FE4"/>
    <w:rsid w:val="1F9B6AB4"/>
    <w:rsid w:val="1FAF01A5"/>
    <w:rsid w:val="1FD0435A"/>
    <w:rsid w:val="1FE84A79"/>
    <w:rsid w:val="20020720"/>
    <w:rsid w:val="21131D82"/>
    <w:rsid w:val="21501771"/>
    <w:rsid w:val="217C3DFE"/>
    <w:rsid w:val="21EA131A"/>
    <w:rsid w:val="22266D6E"/>
    <w:rsid w:val="22471980"/>
    <w:rsid w:val="228C52E3"/>
    <w:rsid w:val="23534D84"/>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CE5CC2"/>
    <w:rsid w:val="2AD1002C"/>
    <w:rsid w:val="2AEB3AC8"/>
    <w:rsid w:val="2AFA623D"/>
    <w:rsid w:val="2BD0504D"/>
    <w:rsid w:val="2C032F89"/>
    <w:rsid w:val="2C183A78"/>
    <w:rsid w:val="2C1F7D04"/>
    <w:rsid w:val="2C24179F"/>
    <w:rsid w:val="2D46065C"/>
    <w:rsid w:val="2DB87176"/>
    <w:rsid w:val="2DF56D7A"/>
    <w:rsid w:val="2E93742E"/>
    <w:rsid w:val="2EB11794"/>
    <w:rsid w:val="2EF17C21"/>
    <w:rsid w:val="2EF62223"/>
    <w:rsid w:val="2F0762A6"/>
    <w:rsid w:val="2F877510"/>
    <w:rsid w:val="2FF13345"/>
    <w:rsid w:val="30FD0C76"/>
    <w:rsid w:val="317C3F79"/>
    <w:rsid w:val="319B1E8A"/>
    <w:rsid w:val="31C90EF7"/>
    <w:rsid w:val="321D67FE"/>
    <w:rsid w:val="32297D9E"/>
    <w:rsid w:val="331E357E"/>
    <w:rsid w:val="337D197F"/>
    <w:rsid w:val="33B433C0"/>
    <w:rsid w:val="33E87C5C"/>
    <w:rsid w:val="33F20A69"/>
    <w:rsid w:val="34A9047B"/>
    <w:rsid w:val="34D26B3E"/>
    <w:rsid w:val="34DA18CC"/>
    <w:rsid w:val="35533554"/>
    <w:rsid w:val="356053E3"/>
    <w:rsid w:val="35A13EAD"/>
    <w:rsid w:val="36443EF1"/>
    <w:rsid w:val="367C62DC"/>
    <w:rsid w:val="368D2AFA"/>
    <w:rsid w:val="36BC4790"/>
    <w:rsid w:val="3701591D"/>
    <w:rsid w:val="372620CE"/>
    <w:rsid w:val="37CF2EC7"/>
    <w:rsid w:val="37F86E41"/>
    <w:rsid w:val="387151A8"/>
    <w:rsid w:val="388B3837"/>
    <w:rsid w:val="392600EC"/>
    <w:rsid w:val="3945197E"/>
    <w:rsid w:val="395C0A5F"/>
    <w:rsid w:val="3A2613F7"/>
    <w:rsid w:val="3A2A76CC"/>
    <w:rsid w:val="3A653FE4"/>
    <w:rsid w:val="3A6E50FF"/>
    <w:rsid w:val="3A8209A6"/>
    <w:rsid w:val="3AE030A0"/>
    <w:rsid w:val="3B0B29FF"/>
    <w:rsid w:val="3B524F44"/>
    <w:rsid w:val="3B7C1A7D"/>
    <w:rsid w:val="3BB7287D"/>
    <w:rsid w:val="3BDB4F10"/>
    <w:rsid w:val="3C4A6279"/>
    <w:rsid w:val="3CAB1880"/>
    <w:rsid w:val="3D0A7517"/>
    <w:rsid w:val="3D431EA5"/>
    <w:rsid w:val="3D755604"/>
    <w:rsid w:val="3D827BD7"/>
    <w:rsid w:val="3FC75E2A"/>
    <w:rsid w:val="3FFC2801"/>
    <w:rsid w:val="402E368C"/>
    <w:rsid w:val="40623B20"/>
    <w:rsid w:val="40BD1B5D"/>
    <w:rsid w:val="416D7EE1"/>
    <w:rsid w:val="41913095"/>
    <w:rsid w:val="42E4524A"/>
    <w:rsid w:val="43E45BF1"/>
    <w:rsid w:val="43E45D26"/>
    <w:rsid w:val="44F053E9"/>
    <w:rsid w:val="45172B4C"/>
    <w:rsid w:val="452B6E56"/>
    <w:rsid w:val="45344FA4"/>
    <w:rsid w:val="45A104CB"/>
    <w:rsid w:val="45AC4685"/>
    <w:rsid w:val="45CE72F7"/>
    <w:rsid w:val="46195858"/>
    <w:rsid w:val="461C1DF5"/>
    <w:rsid w:val="46706394"/>
    <w:rsid w:val="472A1B2B"/>
    <w:rsid w:val="47431BBA"/>
    <w:rsid w:val="474A1B42"/>
    <w:rsid w:val="47D169AD"/>
    <w:rsid w:val="480E0BFF"/>
    <w:rsid w:val="486F0A4B"/>
    <w:rsid w:val="48935690"/>
    <w:rsid w:val="493B260F"/>
    <w:rsid w:val="4A134048"/>
    <w:rsid w:val="4A216FFE"/>
    <w:rsid w:val="4A3A69ED"/>
    <w:rsid w:val="4A5179BA"/>
    <w:rsid w:val="4A8F20D8"/>
    <w:rsid w:val="4ACC6537"/>
    <w:rsid w:val="4AF1796D"/>
    <w:rsid w:val="4B587B69"/>
    <w:rsid w:val="4B60553A"/>
    <w:rsid w:val="4BEF52AB"/>
    <w:rsid w:val="4C240337"/>
    <w:rsid w:val="4C423D8C"/>
    <w:rsid w:val="4C96215E"/>
    <w:rsid w:val="4CAB7BE3"/>
    <w:rsid w:val="4CAF6471"/>
    <w:rsid w:val="4CD95B21"/>
    <w:rsid w:val="4DAD1742"/>
    <w:rsid w:val="4DE94EAA"/>
    <w:rsid w:val="4E2E4BCD"/>
    <w:rsid w:val="4EE87874"/>
    <w:rsid w:val="4F42714B"/>
    <w:rsid w:val="4F806677"/>
    <w:rsid w:val="4F87404D"/>
    <w:rsid w:val="4FA6232F"/>
    <w:rsid w:val="4FAF5306"/>
    <w:rsid w:val="4FFD122B"/>
    <w:rsid w:val="50004AA4"/>
    <w:rsid w:val="50B60370"/>
    <w:rsid w:val="51297259"/>
    <w:rsid w:val="514549DB"/>
    <w:rsid w:val="516C5329"/>
    <w:rsid w:val="51A42CB2"/>
    <w:rsid w:val="51F0037B"/>
    <w:rsid w:val="52706F07"/>
    <w:rsid w:val="52A53685"/>
    <w:rsid w:val="53113F54"/>
    <w:rsid w:val="532A33D5"/>
    <w:rsid w:val="53684700"/>
    <w:rsid w:val="540B3AA2"/>
    <w:rsid w:val="548303BC"/>
    <w:rsid w:val="549A43E3"/>
    <w:rsid w:val="552C624B"/>
    <w:rsid w:val="555C66AE"/>
    <w:rsid w:val="55673F09"/>
    <w:rsid w:val="55913D2B"/>
    <w:rsid w:val="56B130CE"/>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DD3DB7"/>
    <w:rsid w:val="5BE509C8"/>
    <w:rsid w:val="5C891DD2"/>
    <w:rsid w:val="5C9B1066"/>
    <w:rsid w:val="5D586AB3"/>
    <w:rsid w:val="5D9F460B"/>
    <w:rsid w:val="5DC9622E"/>
    <w:rsid w:val="5E354CB0"/>
    <w:rsid w:val="5E3746BE"/>
    <w:rsid w:val="5E3F201E"/>
    <w:rsid w:val="5ED272FD"/>
    <w:rsid w:val="5ED44D98"/>
    <w:rsid w:val="5EDA0854"/>
    <w:rsid w:val="5EE02C49"/>
    <w:rsid w:val="5EF92CD4"/>
    <w:rsid w:val="5F2A017B"/>
    <w:rsid w:val="5F7260FB"/>
    <w:rsid w:val="5FDF7D56"/>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430CAC"/>
    <w:rsid w:val="6CED00AD"/>
    <w:rsid w:val="6D3C4CFE"/>
    <w:rsid w:val="6D615120"/>
    <w:rsid w:val="6D7F0CE2"/>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43243F5"/>
    <w:rsid w:val="745D03E1"/>
    <w:rsid w:val="753E613B"/>
    <w:rsid w:val="76022863"/>
    <w:rsid w:val="76102C03"/>
    <w:rsid w:val="765058C0"/>
    <w:rsid w:val="7670696F"/>
    <w:rsid w:val="767A3E82"/>
    <w:rsid w:val="76E005B4"/>
    <w:rsid w:val="77363EE3"/>
    <w:rsid w:val="777F5D49"/>
    <w:rsid w:val="77B776EA"/>
    <w:rsid w:val="77CB2BBE"/>
    <w:rsid w:val="77D7126C"/>
    <w:rsid w:val="7873165D"/>
    <w:rsid w:val="792E26D2"/>
    <w:rsid w:val="797E027D"/>
    <w:rsid w:val="798633F4"/>
    <w:rsid w:val="79906AA9"/>
    <w:rsid w:val="79F0195B"/>
    <w:rsid w:val="79F45479"/>
    <w:rsid w:val="7A30596D"/>
    <w:rsid w:val="7A9145A7"/>
    <w:rsid w:val="7AE17B29"/>
    <w:rsid w:val="7B22011A"/>
    <w:rsid w:val="7B4A3C63"/>
    <w:rsid w:val="7B4F0FDA"/>
    <w:rsid w:val="7BDB797B"/>
    <w:rsid w:val="7C0A2C31"/>
    <w:rsid w:val="7C6920E3"/>
    <w:rsid w:val="7C882011"/>
    <w:rsid w:val="7CA67A9A"/>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0" Type="http://schemas.openxmlformats.org/officeDocument/2006/relationships/fontTable" Target="fontTable.xml"/><Relationship Id="rId16" Type="http://schemas.openxmlformats.org/officeDocument/2006/relationships/image" Target="media/image13.png"/><Relationship Id="rId159" Type="http://schemas.openxmlformats.org/officeDocument/2006/relationships/numbering" Target="numbering.xml"/><Relationship Id="rId158" Type="http://schemas.openxmlformats.org/officeDocument/2006/relationships/customXml" Target="../customXml/item1.xml"/><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447</TotalTime>
  <ScaleCrop>false</ScaleCrop>
  <LinksUpToDate>false</LinksUpToDate>
  <CharactersWithSpaces>0</CharactersWithSpaces>
  <Application>WPS Office_11.1.0.10116_F1E327BC-269C-435d-A152-05C5408002CA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2021-05-10T06:17:30Z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